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ind w:firstLine="0"/>
        <w:jc w:val="center"/>
      </w:pPr>
      <w:r>
        <w:t>ПОЛИТИКА КОНФИДЕНЦИАЛЬНОСТИ</w:t>
      </w:r>
    </w:p>
    <w:p>
      <w:pPr>
        <w:pStyle w:val="Subtitle"/>
        <w:ind w:firstLine="0"/>
        <w:jc w:val="center"/>
      </w:pPr>
      <w:r>
        <w:t>Политика обработки персональных данных • редакция от 15 августа 2026 года</w:t>
      </w:r>
    </w:p>
    <w:p>
      <w:pPr>
        <w:ind w:firstLine="709"/>
      </w:pPr>
      <w:r>
        <w:rPr>
          <w:b/>
        </w:rPr>
        <w:t xml:space="preserve">Важно. </w:t>
      </w:r>
      <w:r>
        <w:t>Публичная редакция не содержит незаполненных полей. До размещения Компания обязана сверить её с фактическими настройками приложения, списком подрядчиков и уведомлением Роскомнадзора.</w:t>
      </w:r>
    </w:p>
    <w:p>
      <w:pPr>
        <w:pStyle w:val="Heading1"/>
        <w:keepNext/>
      </w:pPr>
      <w:r>
        <w:t>1. Оператор и область действия</w:t>
      </w:r>
    </w:p>
    <w:p>
      <w:r>
        <w:t>Оператором персональных данных является Общество с ограниченной ответственностью «АМБРЕНТ» (ООО «АМБРЕНТ»): ИНН 9717184990, ОГРН 1257700468926; адрес: 129626, г. Москва, проспект Мира, д. 102, стр. 1, помещ. 3/7; support@umbrent.ru; +7 (952) 779-13-88; https://umbrent.ru; Telegram: @umbrent_support.</w:t>
      </w:r>
    </w:p>
    <w:p>
      <w:r>
        <w:t>Политика действует для приложения Umbrent, сайта umbrent.ru, станций аренды, службы поддержки и связанных процессов платежей. Она описывает цели, категории данных, основания, сроки, получателей и права субъектов.</w:t>
      </w:r>
    </w:p>
    <w:p>
      <w:pPr>
        <w:pStyle w:val="Heading1"/>
        <w:keepNext/>
      </w:pPr>
      <w:r>
        <w:t>2. Принципы обработки</w:t>
      </w:r>
    </w:p>
    <w:p>
      <w:pPr>
        <w:pStyle w:val="ListBullet"/>
      </w:pPr>
      <w:r>
        <w:t>законность, справедливость и прозрачность;</w:t>
      </w:r>
    </w:p>
    <w:p>
      <w:pPr>
        <w:pStyle w:val="ListBullet"/>
      </w:pPr>
      <w:r>
        <w:t>обработка только для заранее определённых целей;</w:t>
      </w:r>
    </w:p>
    <w:p>
      <w:pPr>
        <w:pStyle w:val="ListBullet"/>
      </w:pPr>
      <w:r>
        <w:t>минимизация состава и объёма данных;</w:t>
      </w:r>
    </w:p>
    <w:p>
      <w:pPr>
        <w:pStyle w:val="ListBullet"/>
      </w:pPr>
      <w:r>
        <w:t>точность и своевременное исправление;</w:t>
      </w:r>
    </w:p>
    <w:p>
      <w:pPr>
        <w:pStyle w:val="ListBullet"/>
      </w:pPr>
      <w:r>
        <w:t>хранение не дольше, чем требуют цели или закон;</w:t>
      </w:r>
    </w:p>
    <w:p>
      <w:pPr>
        <w:pStyle w:val="ListBullet"/>
      </w:pPr>
      <w:r>
        <w:t>организационные и технические меры защиты от неправомерного доступа, изменения, блокирования и уничтожения.</w:t>
      </w:r>
    </w:p>
    <w:p>
      <w:pPr>
        <w:pStyle w:val="Heading1"/>
        <w:keepNext/>
      </w:pPr>
      <w:r>
        <w:t>3. Данные, цели и основания</w:t>
      </w:r>
    </w:p>
    <w:p>
      <w:r>
        <w:t>3.1. Аккаунт и связь. Данные: номер телефона, email, идентификатор аккаунта, сведения выбранного способа входа. Цель: регистрация, вход, безопасность, сервисные уведомления. Основание: заключение и исполнение договора; закон; согласие — когда требуется.</w:t>
      </w:r>
    </w:p>
    <w:p>
      <w:r>
        <w:t>3.2. Аренда и станция. Данные: ID зонта и станции, время выдачи/возврата, статус ячейки, журнал ошибок. Цель: выдача, возврат, расчёт тарифа, разбор сбоев. Основание: исполнение договора; защита прав и законных интересов при соблюдении прав пользователя.</w:t>
      </w:r>
    </w:p>
    <w:p>
      <w:r>
        <w:t>3.3. Платежи. Данные: токен, последние цифры карты, статус, сумма, чек; без CVC/CVV. Цель: блокировка, списание, возврат, учёт и чеки. Основание: исполнение договора; закон; отдельное согласие на автоплатёж.</w:t>
      </w:r>
    </w:p>
    <w:p>
      <w:r>
        <w:t>3.4. Поддержка. Данные: обращение, переписка, фото/видео, запись согласованного звонка. Цель: ответ, претензия, доказательство возврата или повреждения. Основание: исполнение договора; согласие для добровольно направленных материалов.</w:t>
      </w:r>
    </w:p>
    <w:p>
      <w:r>
        <w:t>3.5. Устройство и безопасность. Данные: IP, версия приложения/ОС, технические события, push-токен. Цель: безопасность, диагностика, доставка уведомлений. Основание: исполнение договора; законные интересы при минимизации; согласие — когда требуется.</w:t>
      </w:r>
    </w:p>
    <w:p>
      <w:r>
        <w:t>3.6. Местоположение. Данные: геопозиция при разрешении ОС либо выбранная точка на карте. Цель: поиск ближайшей станции. Основание: отдельное разрешение устройства и согласие пользователя.</w:t>
      </w:r>
    </w:p>
    <w:p>
      <w:r>
        <w:t>Компания не обрабатывает специальные категории и биометрические персональные данные для работы сервиса, если отдельная функция прямо не введена и не сопровождается предусмотренной законом процедурой.</w:t>
      </w:r>
    </w:p>
    <w:p>
      <w:pPr>
        <w:pStyle w:val="Heading1"/>
        <w:keepNext/>
      </w:pPr>
      <w:r>
        <w:t>4. Получатели и лица, обрабатывающие данные</w:t>
      </w:r>
    </w:p>
    <w:p>
      <w:pPr>
        <w:pStyle w:val="ListBullet"/>
      </w:pPr>
      <w:r>
        <w:t>ООО НКО «ЮМани» (сервис ЮKassa) — проведение и подтверждение платежей, возвратов и сохранение платёжного средства; адрес: 115035, г. Москва, Садовническая ул., д. 82, стр. 2;</w:t>
      </w:r>
    </w:p>
    <w:p>
      <w:pPr>
        <w:pStyle w:val="ListBullet"/>
      </w:pPr>
      <w:r>
        <w:t>поставщики инфраструктуры и размещения баз данных на территории Российской Федерации — только в объёме, необходимом для работы сервиса;</w:t>
      </w:r>
    </w:p>
    <w:p>
      <w:pPr>
        <w:pStyle w:val="ListBullet"/>
      </w:pPr>
      <w:r>
        <w:t>поставщики SMS/OTP, push-уведомлений, карт, аналитики и диагностики — только для подключённых Компанией функций;</w:t>
      </w:r>
    </w:p>
    <w:p>
      <w:pPr>
        <w:pStyle w:val="ListBullet"/>
      </w:pPr>
      <w:r>
        <w:t>банки, оператор фискальных данных, налоговые и иные уполномоченные органы — в случаях, предусмотренных законом.</w:t>
      </w:r>
    </w:p>
    <w:p>
      <w:r>
        <w:t>Актуальный перечень конкретных подрядчиков, их функций и адресов Компания предоставляет по запросу субъекта и хранит во внутреннем реестре поручений. Перед подключением нового подрядчика Компания проверяет основания передачи, договорные меры защиты и необходимость обновления настоящей политики или согласия.</w:t>
      </w:r>
    </w:p>
    <w:p>
      <w:pPr>
        <w:pStyle w:val="Heading1"/>
        <w:keepNext/>
      </w:pPr>
      <w:r>
        <w:t>5. Локализация и трансграничная передача</w:t>
      </w:r>
    </w:p>
    <w:p>
      <w:r>
        <w:t>При сборе персональных данных граждан Российской Федерации через интернет запись, систематизация, накопление, хранение, уточнение и извлечение осуществляются с использованием баз данных на территории Российской Федерации, кроме установленных законом исключений.</w:t>
      </w:r>
    </w:p>
    <w:p>
      <w:r>
        <w:t>Трансграничная передача осуществляется только после выполнения применимой процедуры и оценки страны и получателя. Если подключённый сервис приводит к трансграничной передаче, сведения о стране, получателе, цели и основании раскрываются в актуальной версии политики или отдельном уведомлении до начала передачи.</w:t>
      </w:r>
    </w:p>
    <w:p>
      <w:pPr>
        <w:pStyle w:val="Heading1"/>
        <w:keepNext/>
      </w:pPr>
      <w:r>
        <w:t>6. Сроки хранения</w:t>
      </w:r>
    </w:p>
    <w:p>
      <w:pPr>
        <w:pStyle w:val="ListBullet"/>
      </w:pPr>
      <w:r>
        <w:t>данные аккаунта — до удаления аккаунта и далее в пределах срока, необходимого для требований и обязательного хранения;</w:t>
      </w:r>
    </w:p>
    <w:p>
      <w:pPr>
        <w:pStyle w:val="ListBullet"/>
      </w:pPr>
      <w:r>
        <w:t>история аренды, платежей, обращений и доказательств согласий — как правило, три года после завершения соответствующего отношения, если закон не требует большего срока;</w:t>
      </w:r>
    </w:p>
    <w:p>
      <w:pPr>
        <w:pStyle w:val="ListBullet"/>
      </w:pPr>
      <w:r>
        <w:t>кассовые, бухгалтерские и налоговые документы — в сроки, установленные законодательством;</w:t>
      </w:r>
    </w:p>
    <w:p>
      <w:pPr>
        <w:pStyle w:val="ListBullet"/>
      </w:pPr>
      <w:r>
        <w:t>технические журналы и диагностические события — не более одного года, если инцидент или спор не требует более длительного хранения;</w:t>
      </w:r>
    </w:p>
    <w:p>
      <w:pPr>
        <w:pStyle w:val="ListBullet"/>
      </w:pPr>
      <w:r>
        <w:t>геопозиция для поиска станции — в момент использования функции либо в минимально необходимом техническом журнале без построения истории перемещений.</w:t>
      </w:r>
    </w:p>
    <w:p>
      <w:r>
        <w:t>После достижения цели данные уничтожаются или обезличиваются, если дальнейшее хранение не требуется законом или для защиты прав в существующем споре.</w:t>
      </w:r>
    </w:p>
    <w:p>
      <w:pPr>
        <w:pStyle w:val="Heading1"/>
        <w:keepNext/>
      </w:pPr>
      <w:r>
        <w:t>7. Права пользователя</w:t>
      </w:r>
    </w:p>
    <w:p>
      <w:pPr>
        <w:pStyle w:val="ListBullet"/>
      </w:pPr>
      <w:r>
        <w:t>получить сведения об обработке и перечне лиц, действующих по поручению Компании;</w:t>
      </w:r>
    </w:p>
    <w:p>
      <w:pPr>
        <w:pStyle w:val="ListBullet"/>
      </w:pPr>
      <w:r>
        <w:t>потребовать уточнения, блокирования или уничтожения неточных, незаконно полученных или избыточных данных;</w:t>
      </w:r>
    </w:p>
    <w:p>
      <w:pPr>
        <w:pStyle w:val="ListBullet"/>
      </w:pPr>
      <w:r>
        <w:t>отозвать согласие, не затрагивая обработку на иных законных основаниях;</w:t>
      </w:r>
    </w:p>
    <w:p>
      <w:pPr>
        <w:pStyle w:val="ListBullet"/>
      </w:pPr>
      <w:r>
        <w:t>возразить против решения, основанного исключительно на автоматизированной обработке, и потребовать рассмотрения человеком;</w:t>
      </w:r>
    </w:p>
    <w:p>
      <w:pPr>
        <w:pStyle w:val="ListBullet"/>
      </w:pPr>
      <w:r>
        <w:t>обжаловать действия в Роскомнадзоре или суде.</w:t>
      </w:r>
    </w:p>
    <w:p>
      <w:r>
        <w:t>Запрос направляется на support@umbrent.ru и должен позволять идентифицировать заявителя без запроса избыточных данных. Ответ предоставляется в течение 10 рабочих дней; срок может быть продлён не более чем на пять рабочих дней с мотивированным уведомлением, если это допускается законом.</w:t>
      </w:r>
    </w:p>
    <w:p>
      <w:pPr>
        <w:pStyle w:val="Heading1"/>
        <w:keepNext/>
      </w:pPr>
      <w:r>
        <w:t>8. Автоматизированные решения</w:t>
      </w:r>
    </w:p>
    <w:p>
      <w:r>
        <w:t>Система автоматически определяет длительность аренды и сумму по зафиксированным событиям. Пользователь вправе оспорить технический статус, списание или обязательный выкуп и представить сведения о сбое. До завершения ручной проверки Компания приостанавливает новые автоматические попытки по оспариваемой операции, когда это технически и юридически возможно.</w:t>
      </w:r>
    </w:p>
    <w:p>
      <w:pPr>
        <w:pStyle w:val="Heading1"/>
        <w:keepNext/>
      </w:pPr>
      <w:r>
        <w:t>9. Безопасность и инциденты</w:t>
      </w:r>
    </w:p>
    <w:p>
      <w:r>
        <w:t>Компания назначает ответственного, ограничивает доступ по ролям, ведёт учёт операций, применяет резервное копирование, контроль уязвимостей, шифрование каналов и процедуры реагирования. При инциденте Компания выполняет предусмотренные законом уведомления Роскомнадзора, включая первоначальное уведомление в течение 24 часов и сообщение о результатах внутреннего расследования в течение 72 часов, когда эти требования применимы.</w:t>
      </w:r>
    </w:p>
    <w:p>
      <w:pPr>
        <w:pStyle w:val="Heading1"/>
        <w:keepNext/>
      </w:pPr>
      <w:r>
        <w:t>10. Изменения политики</w:t>
      </w:r>
    </w:p>
    <w:p>
      <w:r>
        <w:t>Актуальная версия доступна в приложении и на сайте. Существенные изменения доводятся до сведения пользователя до начала новой обработки; если меняются цели или требуется новое согласие, Компания запрашивает его отдельно.</w:t>
      </w:r>
    </w:p>
    <w:p>
      <w:pPr>
        <w:pStyle w:val="Heading1"/>
        <w:keepNext/>
      </w:pPr>
      <w:r>
        <w:t>Реквизиты и контакты</w:t>
      </w:r>
    </w:p>
    <w:p>
      <w:r>
        <w:t>Общество с ограниченной ответственностью «АМБРЕНТ» (ООО «АМБРЕНТ»).</w:t>
      </w:r>
    </w:p>
    <w:p>
      <w:r>
        <w:t>ИНН 9717184990, ОГРН 1257700468926; адрес: 129626, г. Москва, проспект Мира, д. 102, стр. 1, помещ. 3/7; support@umbrent.ru; +7 (952) 779-13-88; https://umbrent.ru; Telegram: @umbrent_support.</w:t>
      </w:r>
    </w:p>
    <w:p>
      <w:r>
        <w:t>Обращения по аренде, платежам и персональным данным принимаются по адресу support@umbrent.ru. Ответ предоставляется в сроки, установленные законом и применимым документом.</w:t>
      </w:r>
    </w:p>
    <w:sectPr>
      <w:headerReference w:type="default" r:id="rId9"/>
      <w:pgSz w:w="11906" w:h="16838"/>
      <w:pgMar w:top="1134" w:right="567" w:bottom="1134" w:left="1134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26B73"/>
        <w:sz w:val="16"/>
      </w:rPr>
      <w:t xml:space="preserve">Стр. </w:t>
      <w:fldChar w:fldCharType="begin"/>
      <w:instrText xml:space="preserve"> PAGE </w:instrText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ind w:firstLine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ind w:firstLine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240"/>
    </w:pPr>
    <w:rPr>
      <w:rFonts w:asciiTheme="majorHAnsi" w:eastAsiaTheme="majorEastAsia" w:hAnsiTheme="majorHAnsi" w:cstheme="majorBidi" w:ascii="Times New Roman" w:hAnsi="Times New Roman" w:eastAsia="Times New Roman"/>
      <w:b w:val="0"/>
      <w:i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0"/>
      <w:contextualSpacing/>
    </w:pPr>
    <w:rPr>
      <w:rFonts w:ascii="Times New Roman" w:hAnsi="Times New Roman" w:eastAsia="Times New Roman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0"/>
      <w:contextualSpacing/>
    </w:pPr>
    <w:rPr>
      <w:rFonts w:ascii="Times New Roman" w:hAnsi="Times New Roman" w:eastAsia="Times New Roman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