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ind w:firstLine="0"/>
        <w:jc w:val="center"/>
      </w:pPr>
      <w:r>
        <w:t>ПОЛИТИКА ПЛАТЕЖЕЙ И ВОЗВРАТОВ</w:t>
      </w:r>
    </w:p>
    <w:p>
      <w:pPr>
        <w:pStyle w:val="Subtitle"/>
        <w:ind w:firstLine="0"/>
        <w:jc w:val="center"/>
      </w:pPr>
      <w:r>
        <w:t>Umbrent • редакция от 15 августа 2026 года</w:t>
      </w:r>
    </w:p>
    <w:p>
      <w:pPr>
        <w:ind w:firstLine="709"/>
      </w:pPr>
      <w:r>
        <w:rPr>
          <w:b/>
        </w:rPr>
        <w:t xml:space="preserve">Важно. </w:t>
      </w:r>
      <w:r>
        <w:t>Документ описывает финансовую механику тарифа. 1000 ₽ после 48 часов — цена обязательного выкупа, а не штраф.</w:t>
      </w:r>
    </w:p>
    <w:p>
      <w:pPr>
        <w:pStyle w:val="Heading1"/>
        <w:keepNext/>
      </w:pPr>
      <w:r>
        <w:t>1. Кратко о тарифе</w:t>
      </w:r>
    </w:p>
    <w:p>
      <w:pPr>
        <w:pStyle w:val="ListNumber"/>
      </w:pPr>
      <w:r>
        <w:t>От 0 до 24 часов включительно — бесплатное пользование, 0 ₽. При корректном возврате обеспечительная блокировка 300 ₽ отменяется.</w:t>
      </w:r>
    </w:p>
    <w:p>
      <w:pPr>
        <w:pStyle w:val="ListNumber"/>
      </w:pPr>
      <w:r>
        <w:t>Более 24 часов, но не более 48 часов — платная аренда, 300 ₽. Сумма списывается как фиксированная арендная плата.</w:t>
      </w:r>
    </w:p>
    <w:p>
      <w:pPr>
        <w:pStyle w:val="ListNumber"/>
      </w:pPr>
      <w:r>
        <w:t>С первой секунды после истечения 48 часов — обязательный выкуп, 1000 ₽. Аренда прекращается, право собственности на зонт переходит Пользователю, а 1000 ₽ подлежат оплате как цена выкупа.</w:t>
      </w:r>
    </w:p>
    <w:p>
      <w:r>
        <w:t>Итог при невозврате после 48 часов: 1300 ₽, из которых 300 ₽ — арендная плата, 1000 ₽ — цена выкупа зонта.</w:t>
      </w:r>
    </w:p>
    <w:p>
      <w:pPr>
        <w:pStyle w:val="Heading1"/>
        <w:keepNext/>
      </w:pPr>
      <w:r>
        <w:t>2. Обеспечительная блокировка 300 ₽</w:t>
      </w:r>
    </w:p>
    <w:p>
      <w:pPr>
        <w:pStyle w:val="ListBullet"/>
      </w:pPr>
      <w:r>
        <w:t>Перед выдачей зонта на карте может быть временно заблокировано 300 ₽. Это не окончательное списание и не доход Компании.</w:t>
      </w:r>
    </w:p>
    <w:p>
      <w:pPr>
        <w:pStyle w:val="ListBullet"/>
      </w:pPr>
      <w:r>
        <w:t>Если возврат подтверждён не позднее 24 часов, Компания отменяет блокировку. Срок отображения суммы на карте зависит от банка.</w:t>
      </w:r>
    </w:p>
    <w:p>
      <w:pPr>
        <w:pStyle w:val="ListBullet"/>
      </w:pPr>
      <w:r>
        <w:t>Если аренда продолжается более 24 часов, Компания подтверждает списание 300 ₽ как фиксированной арендной платы.</w:t>
      </w:r>
    </w:p>
    <w:p>
      <w:pPr>
        <w:pStyle w:val="ListBullet"/>
      </w:pPr>
      <w:r>
        <w:t>Если блокировка была отменена банком до возникновения платы либо технически недоступна, Компания может выставить 300 ₽ отдельным счётом, но не списывает одну и ту же сумму повторно.</w:t>
      </w:r>
    </w:p>
    <w:p>
      <w:pPr>
        <w:pStyle w:val="Heading1"/>
        <w:keepNext/>
      </w:pPr>
      <w:r>
        <w:t>3. Обязательный выкуп после 48 часов</w:t>
      </w:r>
    </w:p>
    <w:p>
      <w:r>
        <w:t>С первой секунды после истечения 48 часов без зарегистрированного возврата аренда прекращается, зонт переходит в собственность Пользователя и возникает обязанность оплатить 1000 ₽. В приложении показываются основание, сумма, идентификатор аренды и кнопка оплаты.</w:t>
      </w:r>
    </w:p>
    <w:p>
      <w:r>
        <w:t>1000 ₽ списываются автоматически только при отдельном согласии на рекуррентные платежи. При отсутствии или отзыве такого согласия Пользователь оплачивает счёт вручную. Отзыв автоплатежей прекращает будущие автоматические попытки, но не отменяет уже возникшую обязанность оплатить цену зонта.</w:t>
      </w:r>
    </w:p>
    <w:p>
      <w:r>
        <w:t>Если автоматический платёж не прошёл, допускается не более трёх попыток в течение семи календарных дней и не чаще одной попытки за 24 часа. Каждая попытка имеет уникальный идентификатор; повторное списание по одной операции исключается.</w:t>
      </w:r>
    </w:p>
    <w:p>
      <w:pPr>
        <w:pStyle w:val="Heading1"/>
        <w:keepNext/>
      </w:pPr>
      <w:r>
        <w:t>4. Поздний возврат</w:t>
      </w:r>
    </w:p>
    <w:p>
      <w:r>
        <w:t>После обязательного выкупа Пользователь является собственником зонта. Если станция всё же приняла его, операция переводится на ручную сверку. Компания не оставляет одновременно и зонт, и полную цену 1000 ₽ без отдельного согласованного решения.</w:t>
      </w:r>
    </w:p>
    <w:p>
      <w:r>
        <w:t>По итогам сверки Компания отменяет неисполненный счёт или возвращает ошибочно полученные 1000 ₽, если зонт остаётся у Компании, либо организует передачу зонта Пользователю. Арендная плата 300 ₽ сохраняется, если её начисление было корректным.</w:t>
      </w:r>
    </w:p>
    <w:p>
      <w:pPr>
        <w:pStyle w:val="Heading1"/>
        <w:keepNext/>
      </w:pPr>
      <w:r>
        <w:t>5. Ошибки, отмены и возвраты</w:t>
      </w:r>
    </w:p>
    <w:p>
      <w:pPr>
        <w:pStyle w:val="ListBullet"/>
      </w:pPr>
      <w:r>
        <w:t>Ошибочная блокировка: Компания направляет отмену после проверки; банковский срок разблокировки не зависит от Компании.</w:t>
      </w:r>
    </w:p>
    <w:p>
      <w:pPr>
        <w:pStyle w:val="ListBullet"/>
      </w:pPr>
      <w:r>
        <w:t>Повторное или ошибочное списание: после подтверждения ошибки Компания оформляет возврат тем же способом оплаты.</w:t>
      </w:r>
    </w:p>
    <w:p>
      <w:pPr>
        <w:pStyle w:val="ListBullet"/>
      </w:pPr>
      <w:r>
        <w:t>Технически невыданный зонт: платежи отменяются, если журнал станции подтверждает отсутствие выдачи.</w:t>
      </w:r>
    </w:p>
    <w:p>
      <w:pPr>
        <w:pStyle w:val="ListBullet"/>
      </w:pPr>
      <w:r>
        <w:t>Технически незафиксированный возврат: тариф пересчитывается по времени первой подтверждённой попытки или обращения, если установлен сбой.</w:t>
      </w:r>
    </w:p>
    <w:p>
      <w:pPr>
        <w:pStyle w:val="ListBullet"/>
      </w:pPr>
      <w:r>
        <w:t>Возврат денег не лишает Пользователя иных обязательных прав потребителя.</w:t>
      </w:r>
    </w:p>
    <w:p>
      <w:r>
        <w:t>Для проверки обращения Компания может запросить номер телефона аккаунта, идентификатор аренды, дату, станцию и последние четыре цифры карты. Полные реквизиты карты и CVC/CVV сообщать не нужно.</w:t>
      </w:r>
    </w:p>
    <w:p>
      <w:pPr>
        <w:pStyle w:val="Heading1"/>
        <w:keepNext/>
      </w:pPr>
      <w:r>
        <w:t>6. Чеки и уведомления</w:t>
      </w:r>
    </w:p>
    <w:p>
      <w:r>
        <w:t>Электронный чек направляется по контактным данным, указанным Пользователем, когда его выдача обязательна. Сервисные push-, SMS- и email-уведомления о блокировке, списании, счёте и возврате денег являются частью исполнения договора.</w:t>
      </w:r>
    </w:p>
    <w:p>
      <w:pPr>
        <w:pStyle w:val="Heading1"/>
        <w:keepNext/>
      </w:pPr>
      <w:r>
        <w:t>Реквизиты и контакты</w:t>
      </w:r>
    </w:p>
    <w:p>
      <w:r>
        <w:t>Общество с ограниченной ответственностью «АМБРЕНТ» (ООО «АМБРЕНТ»).</w:t>
      </w:r>
    </w:p>
    <w:p>
      <w:r>
        <w:t>ИНН 9717184990, ОГРН 1257700468926; адрес: 129626, г. Москва, проспект Мира, д. 102, стр. 1, помещ. 3/7; support@umbrent.ru; +7 (952) 779-13-88; https://umbrent.ru; Telegram: @umbrent_support.</w:t>
      </w:r>
    </w:p>
    <w:p>
      <w:r>
        <w:t>Обращения по аренде, платежам и персональным данным принимаются по адресу support@umbrent.ru. Ответ предоставляется в сроки, установленные законом и применимым документом.</w:t>
      </w:r>
    </w:p>
    <w:sectPr>
      <w:headerReference w:type="default" r:id="rId9"/>
      <w:pgSz w:w="11906" w:h="16838"/>
      <w:pgMar w:top="1134" w:right="567" w:bottom="1134" w:left="1134" w:header="567"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color w:val="626B73"/>
        <w:sz w:val="16"/>
      </w:rPr>
      <w:t xml:space="preserve">Стр. </w:t>
      <w:fldChar w:fldCharType="begin"/>
      <w:instrText xml:space="preserve"> PAGE </w:instrText>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76" w:lineRule="auto"/>
      <w:ind w:firstLine="709"/>
      <w:jc w:val="both"/>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ind w:firstLine="0"/>
      <w:outlineLvl w:val="0"/>
    </w:pPr>
    <w:rPr>
      <w:rFonts w:asciiTheme="majorHAnsi" w:eastAsiaTheme="majorEastAsia" w:hAnsiTheme="majorHAnsi" w:cstheme="majorBidi" w:ascii="Times New Roman" w:hAnsi="Times New Roman" w:eastAsia="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ind w:firstLine="0"/>
      <w:outlineLvl w:val="1"/>
    </w:pPr>
    <w:rPr>
      <w:rFonts w:asciiTheme="majorHAnsi" w:eastAsiaTheme="majorEastAsia" w:hAnsiTheme="majorHAnsi" w:cstheme="majorBidi" w:ascii="Times New Roman" w:hAnsi="Times New Roman" w:eastAsia="Times New Roman"/>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120" w:after="40"/>
      <w:ind w:firstLine="0"/>
      <w:outlineLvl w:val="2"/>
    </w:pPr>
    <w:rPr>
      <w:rFonts w:asciiTheme="majorHAnsi" w:eastAsiaTheme="majorEastAsia" w:hAnsiTheme="majorHAnsi" w:cstheme="majorBidi" w:ascii="Times New Roman" w:hAnsi="Times New Roman" w:eastAsia="Times New Roman"/>
      <w:b/>
      <w:bCs/>
      <w:color w:val="00000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40" w:line="240" w:lineRule="auto" w:before="0"/>
      <w:contextualSpacing/>
    </w:pPr>
    <w:rPr>
      <w:rFonts w:asciiTheme="majorHAnsi" w:eastAsiaTheme="majorEastAsia" w:hAnsiTheme="majorHAnsi" w:cstheme="majorBidi" w:ascii="Times New Roman" w:hAnsi="Times New Roman" w:eastAsia="Times New Roman"/>
      <w:b/>
      <w:color w:val="000000"/>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240"/>
    </w:pPr>
    <w:rPr>
      <w:rFonts w:asciiTheme="majorHAnsi" w:eastAsiaTheme="majorEastAsia" w:hAnsiTheme="majorHAnsi" w:cstheme="majorBidi" w:ascii="Times New Roman" w:hAnsi="Times New Roman" w:eastAsia="Times New Roman"/>
      <w:b w:val="0"/>
      <w:i/>
      <w:iCs/>
      <w:color w:val="000000"/>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0"/>
      <w:contextualSpacing/>
    </w:pPr>
    <w:rPr>
      <w:rFonts w:ascii="Times New Roman" w:hAnsi="Times New Roman" w:eastAsia="Times New Roman"/>
      <w:sz w:val="24"/>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0"/>
      <w:contextualSpacing/>
    </w:pPr>
    <w:rPr>
      <w:rFonts w:ascii="Times New Roman" w:hAnsi="Times New Roman" w:eastAsia="Times New Roman"/>
      <w:sz w:val="24"/>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2013-12-23T23:15:00Z</dcterms:created>
  <dcterms:modified xsi:type="dcterms:W3CDTF">2013-12-23T23:15:00Z</dcterms:modified>
  <cp:category/>
</cp:coreProperties>
</file>