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ind w:firstLine="0"/>
        <w:jc w:val="center"/>
      </w:pPr>
      <w:r>
        <w:t>ПОЛЬЗОВАТЕЛЬСКОЕ СОГЛАШЕНИЕ</w:t>
      </w:r>
    </w:p>
    <w:p>
      <w:pPr>
        <w:pStyle w:val="Subtitle"/>
        <w:ind w:firstLine="0"/>
        <w:jc w:val="center"/>
      </w:pPr>
      <w:r>
        <w:t>Публичная оферта об использовании приложения и сервиса аренды зонтов • редакция от 15 августа 2026 года</w:t>
      </w:r>
    </w:p>
    <w:p>
      <w:pPr>
        <w:ind w:firstLine="709"/>
      </w:pPr>
      <w:r>
        <w:rPr>
          <w:b/>
        </w:rPr>
        <w:t xml:space="preserve">Важно. </w:t>
      </w:r>
      <w:r>
        <w:t>Ключевая модель сохранена: до 24 часов — 0 ₽; более 24 и до 48 часов — 300 ₽; после 48 часов — обязательный выкуп за 1000 ₽. Итого при невозврате после 48 часов: 1300 ₽.</w:t>
      </w:r>
    </w:p>
    <w:p>
      <w:pPr>
        <w:pStyle w:val="Heading1"/>
        <w:keepNext/>
      </w:pPr>
      <w:r>
        <w:t>1. Общие положения</w:t>
      </w:r>
    </w:p>
    <w:p>
      <w:r>
        <w:t>Настоящее соглашение является публичной офертой Общество с ограниченной ответственностью «АМБРЕНТ» (ООО «АМБРЕНТ») (далее — «Компания») и регулирует использование приложения Umbrent, получение зонта на станции, аренду, возврат, платежи и обязательный выкуп.</w:t>
      </w:r>
    </w:p>
    <w:p>
      <w:r>
        <w:t>Соглашение является смешанным договором: в нём используются элементы безвозмездного пользования, проката (аренды движимого имущества), обеспечительной платёжной операции и купли-продажи с отсрочкой платежа. К отношениям сторон применяются соответствующие нормы законодательства Российской Федерации.</w:t>
      </w:r>
    </w:p>
    <w:p>
      <w:r>
        <w:t>Договор заключается в электронной форме. Пользователь принимает его только активным действием в приложении. Компания сохраняет дату, время, идентификатор пользователя, версию текста и техническое подтверждение акцепта.</w:t>
      </w:r>
    </w:p>
    <w:p>
      <w:pPr>
        <w:pStyle w:val="Heading1"/>
        <w:keepNext/>
      </w:pPr>
      <w:r>
        <w:t>2. Термины и момент заключения договора</w:t>
      </w:r>
    </w:p>
    <w:p>
      <w:pPr>
        <w:pStyle w:val="ListBullet"/>
      </w:pPr>
      <w:r>
        <w:t>Пользователь — дееспособное физическое лицо, достигшее 18 лет и использующее сервис для личных нужд.</w:t>
      </w:r>
    </w:p>
    <w:p>
      <w:pPr>
        <w:pStyle w:val="ListBullet"/>
      </w:pPr>
      <w:r>
        <w:t>Станция — автоматизированное устройство выдачи и приёма зонтов.</w:t>
      </w:r>
    </w:p>
    <w:p>
      <w:pPr>
        <w:pStyle w:val="ListBullet"/>
      </w:pPr>
      <w:r>
        <w:t>Аренда — период от подтверждённой системой выдачи зонта до подтверждённого возврата либо до наступления обязательного выкупа.</w:t>
      </w:r>
    </w:p>
    <w:p>
      <w:pPr>
        <w:pStyle w:val="ListBullet"/>
      </w:pPr>
      <w:r>
        <w:t>Корректный возврат — помещение зонта в доступную ячейку станции до фиксации замка и появления в приложении подтверждения возврата.</w:t>
      </w:r>
    </w:p>
    <w:p>
      <w:pPr>
        <w:pStyle w:val="ListBullet"/>
      </w:pPr>
      <w:r>
        <w:t>Обеспечительная блокировка 300 ₽ — временное резервирование суммы банком на карте; в интерфейсе может называться «залогом». До списания она не является оплатой и не поступает Компании.</w:t>
      </w:r>
    </w:p>
    <w:p>
      <w:pPr>
        <w:pStyle w:val="ListBullet"/>
      </w:pPr>
      <w:r>
        <w:t>Обязательный выкуп — заранее согласованное последствие невозврата: с первой секунды после истечения 48 часов аренда прекращается, право собственности на зонт переходит Пользователю, а 1000 ₽ становятся подлежащей оплате ценой зонта.</w:t>
      </w:r>
    </w:p>
    <w:p>
      <w:r>
        <w:t>Перед первой арендой Пользователь отдельно подтверждает тариф и условие обязательного выкупа. Поле подтверждения не должно быть отмечено заранее и не объединяется с согласием на рекламу, обработку персональных данных или рекуррентные платежи.</w:t>
      </w:r>
    </w:p>
    <w:p>
      <w:pPr>
        <w:ind w:firstLine="709"/>
      </w:pPr>
      <w:r>
        <w:rPr>
          <w:b/>
        </w:rPr>
        <w:t xml:space="preserve">Важно. </w:t>
      </w:r>
      <w:r>
        <w:t xml:space="preserve">Текст обязательного подтверждения в приложении: «Я понимаю: если возврат зонта не будет зарегистрирован в течение 48 часов, аренда прекратится, зонт станет моим, и я буду обязан оплатить 1000 ₽. Общая сумма составит 1300 ₽: 300 ₽ аренда + 1000 ₽ выкуп». </w:t>
      </w:r>
    </w:p>
    <w:p>
      <w:pPr>
        <w:pStyle w:val="Heading1"/>
        <w:keepNext/>
      </w:pPr>
      <w:r>
        <w:t>3. Начало и завершение аренды</w:t>
      </w:r>
    </w:p>
    <w:p>
      <w:r>
        <w:t>Аренда начинается в момент, когда станция разблокировала ячейку и система зарегистрировала выдачу конкретного зонта. Если зонт фактически не выдан, Пользователь должен сразу сообщить в поддержку.</w:t>
      </w:r>
    </w:p>
    <w:p>
      <w:r>
        <w:t>Аренда завершается при корректном возврате либо при наступлении обязательного выкупа. Отсчёт ведётся по серверному времени Компании, отображаемому в приложении.</w:t>
      </w:r>
    </w:p>
    <w:p>
      <w:r>
        <w:t>Если станция не принимает исправный зонт или приложение не подтверждает возврат, Пользователь должен до окончания соответствующего интервала обратиться в поддержку и по возможности приложить фото или видео. Для тарификации используется время первого подтверждённого обращения или технически зафиксированной попытки возврата, если Компания установит сбой сервиса.</w:t>
      </w:r>
    </w:p>
    <w:p>
      <w:pPr>
        <w:pStyle w:val="Heading1"/>
        <w:keepNext/>
      </w:pPr>
      <w:r>
        <w:t>4. Тариф, обеспечительная блокировка и выкуп</w:t>
      </w:r>
    </w:p>
    <w:p>
      <w:pPr>
        <w:pStyle w:val="ListNumber"/>
      </w:pPr>
      <w:r>
        <w:t>От 0 до 24 часов включительно — бесплатное пользование, 0 ₽. При корректном возврате обеспечительная блокировка 300 ₽ отменяется.</w:t>
      </w:r>
    </w:p>
    <w:p>
      <w:pPr>
        <w:pStyle w:val="ListNumber"/>
      </w:pPr>
      <w:r>
        <w:t>Более 24 часов, но не более 48 часов — платная аренда, 300 ₽. Сумма списывается как фиксированная арендная плата.</w:t>
      </w:r>
    </w:p>
    <w:p>
      <w:pPr>
        <w:pStyle w:val="ListNumber"/>
      </w:pPr>
      <w:r>
        <w:t>С первой секунды после истечения 48 часов — обязательный выкуп, 1000 ₽. Аренда прекращается, право собственности на зонт переходит Пользователю, а 1000 ₽ подлежат оплате как цена выкупа.</w:t>
      </w:r>
    </w:p>
    <w:p>
      <w:r>
        <w:t>Граница интервалов применяется буквально: первые 24 часа включительно бесплатны; с первой секунды после 24 часов и до истечения 48 часов включительно действует арендная плата 300 ₽; обязательный выкуп наступает с первой секунды после истечения 48 часов.</w:t>
      </w:r>
    </w:p>
    <w:p>
      <w:r>
        <w:t>Для начала аренды банк может заблокировать 300 ₽. При возврате не позднее 24 часов Компания направляет команду на отмену блокировки. Срок фактического восстановления доступного остатка зависит от банка Пользователя. После 24 часов Компания вправе подтвердить списание 300 ₽ как арендной платы.</w:t>
      </w:r>
    </w:p>
    <w:p>
      <w:r>
        <w:t>Цена выкупа 1000 ₽ не является штрафом, неустойкой или платой за просрочку. Она представляет собой цену зонта по условию обязательного выкупа. При наступлении выкупа общая стоимость пользования и приобретения составляет 1300 ₽.</w:t>
      </w:r>
    </w:p>
    <w:p>
      <w:r>
        <w:t>Право собственности переходит в момент наступления обязательного выкупа независимо от фактической оплаты 1000 ₽. Стороны договорились, что залог товара в пользу продавца в силу пункта 5 статьи 488 ГК РФ не возникает. До оплаты Компания вправе требовать оплату либо возврат неоплаченного зонта в случаях и порядке, предусмотренных законом.</w:t>
      </w:r>
    </w:p>
    <w:p>
      <w:r>
        <w:t>Компания не начисляет договорные проценты, штраф или неустойку на 1000 ₽. Автоматическое списание 1000 ₽ допускается только при наличии отдельного действующего согласия на рекуррентные платежи. Без него в приложении выставляется счёт для ручной оплаты.</w:t>
      </w:r>
    </w:p>
    <w:p>
      <w:pPr>
        <w:pStyle w:val="Heading1"/>
        <w:keepNext/>
      </w:pPr>
      <w:r>
        <w:t>5. Возврат после 48 часов и запрет двойного взыскания</w:t>
      </w:r>
    </w:p>
    <w:p>
      <w:r>
        <w:t>Станция может технически принять зонт после наступления обязательного выкупа, однако такой приём требует сверки. Компания не вправе одновременно оставить возвращённый зонт и получить полную цену выкупа 1000 ₽ без отдельного соглашения с Пользователем.</w:t>
      </w:r>
    </w:p>
    <w:p>
      <w:r>
        <w:t>После подтверждения позднего возврата Компания либо отменяет неисполненное требование на 1000 ₽ и возвращает ошибочно списанную сумму, либо согласовывает с Пользователем передачу ему зонта. Уже начисленная арендная плата 300 ₽ не возвращается, кроме случаев технической или расчётной ошибки.</w:t>
      </w:r>
    </w:p>
    <w:p>
      <w:pPr>
        <w:pStyle w:val="Heading1"/>
        <w:keepNext/>
      </w:pPr>
      <w:r>
        <w:t>6. Состояние зонта, обязанности и повреждения</w:t>
      </w:r>
    </w:p>
    <w:p>
      <w:pPr>
        <w:pStyle w:val="ListBullet"/>
      </w:pPr>
      <w:r>
        <w:t>Перед использованием Пользователь осматривает зонт. О явном дефекте следует сообщить до начала использования или незамедлительно после обнаружения.</w:t>
      </w:r>
    </w:p>
    <w:p>
      <w:pPr>
        <w:pStyle w:val="ListBullet"/>
      </w:pPr>
      <w:r>
        <w:t>Пользователь обращается с зонтом бережно, не передаёт его для коммерческого использования и не пытается вскрывать станцию или изменять идентификатор зонта.</w:t>
      </w:r>
    </w:p>
    <w:p>
      <w:pPr>
        <w:pStyle w:val="ListBullet"/>
      </w:pPr>
      <w:r>
        <w:t>Обычный износ и дефекты, возникшие не по вине Пользователя, не оплачиваются.</w:t>
      </w:r>
    </w:p>
    <w:p>
      <w:pPr>
        <w:pStyle w:val="ListBullet"/>
      </w:pPr>
      <w:r>
        <w:t>Требование о возмещении повреждения возможно только после проверки, фиксации доказательств и предоставления Пользователю расчёта и возможности возразить.</w:t>
      </w:r>
    </w:p>
    <w:p>
      <w:pPr>
        <w:pStyle w:val="ListBullet"/>
      </w:pPr>
      <w:r>
        <w:t>Стоимость одного и того же зонта не взыскивается дважды: после наступления обязательного выкупа отдельное возмещение его полной стоимости или повреждения не начисляется.</w:t>
      </w:r>
    </w:p>
    <w:p>
      <w:pPr>
        <w:pStyle w:val="Heading1"/>
        <w:keepNext/>
      </w:pPr>
      <w:r>
        <w:t>7. Платежи, чеки и спорные операции</w:t>
      </w:r>
    </w:p>
    <w:p>
      <w:r>
        <w:t>Платежи обрабатываются платёжным партнёром ЮKassa. Ввод реквизитов карты выполняется в защищённом платёжном интерфейсе партнёра. Компания не запрашивает у Пользователя CVC/CVV в поддержке.</w:t>
      </w:r>
    </w:p>
    <w:p>
      <w:r>
        <w:t>Компания предоставляет кассовый чек в случаях и способом, предусмотренными законодательством. Пользователь обязан проверить контакт для получения чека и сообщить об ошибке.</w:t>
      </w:r>
    </w:p>
    <w:p>
      <w:r>
        <w:t>При несогласии со списанием Пользователь обращается в поддержку с датой аренды и идентификатором операции. Компания проводит проверку и при подтверждённой ошибке оформляет возврат тем же способом, если иной способ не требуется законом или платёжными правилами.</w:t>
      </w:r>
    </w:p>
    <w:p>
      <w:pPr>
        <w:pStyle w:val="Heading1"/>
        <w:keepNext/>
      </w:pPr>
      <w:r>
        <w:t>8. Персональные данные, уведомления и реклама</w:t>
      </w:r>
    </w:p>
    <w:p>
      <w:r>
        <w:t>Обработка персональных данных регулируется Политикой конфиденциальности и отдельным согласием, когда согласие требуется законом. Обязательные сервисные уведомления о текущей аренде, возврате, платеже, безопасности и изменении статуса договора не являются рекламой.</w:t>
      </w:r>
    </w:p>
    <w:p>
      <w:r>
        <w:t>Рекламные сообщения направляются только при отдельном предварительном согласии, которое можно отозвать независимо от настоящего договора.</w:t>
      </w:r>
    </w:p>
    <w:p>
      <w:pPr>
        <w:pStyle w:val="Heading1"/>
        <w:keepNext/>
      </w:pPr>
      <w:r>
        <w:t>9. Ответственность, обращения и споры</w:t>
      </w:r>
    </w:p>
    <w:p>
      <w:r>
        <w:t>Стороны отвечают в пределах, установленных законом. Условия соглашения не ограничивают обязательные права потребителя, включая права на информацию, безопасность и судебную защиту.</w:t>
      </w:r>
    </w:p>
    <w:p>
      <w:r>
        <w:t>Претензия может быть направлена по электронной почте или через поддержку. Компания рассматривает её в установленный законом срок. Условие об обязательной подсудности по месту Компании не применяется: потребитель сохраняет право выбора суда в предусмотренных законом случаях.</w:t>
      </w:r>
    </w:p>
    <w:p>
      <w:pPr>
        <w:pStyle w:val="Heading1"/>
        <w:keepNext/>
      </w:pPr>
      <w:r>
        <w:t>10. Изменение условий</w:t>
      </w:r>
    </w:p>
    <w:p>
      <w:r>
        <w:t>Новая редакция применяется к арендам, начатым после её вступления в силу. Условия уже начавшейся аренды не ухудшаются односторонним изменением. Существенные изменения заранее показываются в приложении; при необходимости запрашивается новый акцепт.</w:t>
      </w:r>
    </w:p>
    <w:p>
      <w:pPr>
        <w:pStyle w:val="Heading1"/>
        <w:keepNext/>
      </w:pPr>
      <w:r>
        <w:t>Реквизиты и контакты</w:t>
      </w:r>
    </w:p>
    <w:p>
      <w:r>
        <w:t>Общество с ограниченной ответственностью «АМБРЕНТ» (ООО «АМБРЕНТ»).</w:t>
      </w:r>
    </w:p>
    <w:p>
      <w:r>
        <w:t>ИНН 9717184990, ОГРН 1257700468926; адрес: 129626, г. Москва, проспект Мира, д. 102, стр. 1, помещ. 3/7; support@umbrent.ru; +7 (952) 779-13-88; https://umbrent.ru; Telegram: @umbrent_support.</w:t>
      </w:r>
    </w:p>
    <w:p>
      <w:r>
        <w:t>Обращения по аренде, платежам и персональным данным принимаются по адресу support@umbrent.ru. Ответ предоставляется в сроки, установленные законом и применимым документом.</w:t>
      </w:r>
    </w:p>
    <w:sectPr>
      <w:headerReference w:type="default" r:id="rId9"/>
      <w:pgSz w:w="11906" w:h="16838"/>
      <w:pgMar w:top="1134" w:right="567" w:bottom="1134" w:left="1134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26B73"/>
        <w:sz w:val="16"/>
      </w:rPr>
      <w:t xml:space="preserve">Стр. </w:t>
      <w:fldChar w:fldCharType="begin"/>
      <w:instrText xml:space="preserve"> PAGE </w:instrText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ind w:firstLine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ind w:firstLine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40"/>
    </w:pPr>
    <w:rPr>
      <w:rFonts w:asciiTheme="majorHAnsi" w:eastAsiaTheme="majorEastAsia" w:hAnsiTheme="majorHAnsi" w:cstheme="majorBidi" w:ascii="Times New Roman" w:hAnsi="Times New Roman" w:eastAsia="Times New Roman"/>
      <w:b w:val="0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0"/>
      <w:contextualSpacing/>
    </w:pPr>
    <w:rPr>
      <w:rFonts w:ascii="Times New Roman" w:hAnsi="Times New Roman" w:eastAsia="Times New Roman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0"/>
      <w:contextualSpacing/>
    </w:pPr>
    <w:rPr>
      <w:rFonts w:ascii="Times New Roman" w:hAnsi="Times New Roman" w:eastAsia="Times New Roman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