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ind w:firstLine="0"/>
        <w:jc w:val="center"/>
      </w:pPr>
      <w:r>
        <w:t>ПРАВИЛА АРЕНДЫ И ОЦЕНКИ ПОВРЕЖДЕНИЙ</w:t>
      </w:r>
    </w:p>
    <w:p>
      <w:pPr>
        <w:pStyle w:val="Subtitle"/>
        <w:ind w:firstLine="0"/>
        <w:jc w:val="center"/>
      </w:pPr>
      <w:r>
        <w:t>Umbrent • редакция от 15 августа 2026 года</w:t>
      </w:r>
    </w:p>
    <w:p>
      <w:pPr>
        <w:ind w:firstLine="709"/>
      </w:pPr>
      <w:r>
        <w:rPr>
          <w:b/>
        </w:rPr>
        <w:t xml:space="preserve">Важно. </w:t>
      </w:r>
      <w:r>
        <w:t>Правила дополняют Пользовательское соглашение. При расхождении применяется условие, которое лучше защищает обязательные права потребителя.</w:t>
      </w:r>
    </w:p>
    <w:p>
      <w:pPr>
        <w:pStyle w:val="Heading1"/>
        <w:keepNext/>
      </w:pPr>
      <w:r>
        <w:t>1. Получение зонта</w:t>
      </w:r>
    </w:p>
    <w:p>
      <w:pPr>
        <w:pStyle w:val="ListNumber"/>
      </w:pPr>
      <w:r>
        <w:t>До подтверждения аренды проверьте отображаемый тариф, станцию и доступность 300 ₽ для обеспечительной блокировки.</w:t>
      </w:r>
    </w:p>
    <w:p>
      <w:pPr>
        <w:pStyle w:val="ListNumber"/>
      </w:pPr>
      <w:r>
        <w:t>После разблокировки осмотрите зонт. Если он явно повреждён, не используйте его и сразу сообщите в поддержку.</w:t>
      </w:r>
    </w:p>
    <w:p>
      <w:pPr>
        <w:pStyle w:val="ListNumber"/>
      </w:pPr>
      <w:r>
        <w:t>Не прикладывайте силу к ячейке и не пытайтесь извлечь другой зонт без новой операции в приложении.</w:t>
      </w:r>
    </w:p>
    <w:p>
      <w:pPr>
        <w:pStyle w:val="Heading1"/>
        <w:keepNext/>
      </w:pPr>
      <w:r>
        <w:t>2. Пользование</w:t>
      </w:r>
    </w:p>
    <w:p>
      <w:pPr>
        <w:pStyle w:val="ListBullet"/>
      </w:pPr>
      <w:r>
        <w:t>Используйте зонт по обычному назначению и соблюдайте меры безопасности при сильном ветре.</w:t>
      </w:r>
    </w:p>
    <w:p>
      <w:pPr>
        <w:pStyle w:val="ListBullet"/>
      </w:pPr>
      <w:r>
        <w:t>Не изменяйте маркировку, конструкцию или электронный идентификатор зонта.</w:t>
      </w:r>
    </w:p>
    <w:p>
      <w:pPr>
        <w:pStyle w:val="ListBullet"/>
      </w:pPr>
      <w:r>
        <w:t>Не сдавайте зонт в субаренду и не используйте его в коммерческих целях.</w:t>
      </w:r>
    </w:p>
    <w:p>
      <w:pPr>
        <w:pStyle w:val="ListBullet"/>
      </w:pPr>
      <w:r>
        <w:t>До возврата либо обязательного выкупа сохраняйте зонт в разумной сохранности с учётом нормального износа.</w:t>
      </w:r>
    </w:p>
    <w:p>
      <w:pPr>
        <w:pStyle w:val="Heading1"/>
        <w:keepNext/>
      </w:pPr>
      <w:r>
        <w:t>3. Срок и стоимость</w:t>
      </w:r>
    </w:p>
    <w:p>
      <w:pPr>
        <w:pStyle w:val="ListNumber"/>
      </w:pPr>
      <w:r>
        <w:t>От 0 до 24 часов включительно — бесплатное пользование, 0 ₽. При корректном возврате обеспечительная блокировка 300 ₽ отменяется.</w:t>
      </w:r>
    </w:p>
    <w:p>
      <w:pPr>
        <w:pStyle w:val="ListNumber"/>
      </w:pPr>
      <w:r>
        <w:t>Более 24 часов, но не более 48 часов — платная аренда, 300 ₽. Сумма списывается как фиксированная арендная плата.</w:t>
      </w:r>
    </w:p>
    <w:p>
      <w:pPr>
        <w:pStyle w:val="ListNumber"/>
      </w:pPr>
      <w:r>
        <w:t>С первой секунды после истечения 48 часов — обязательный выкуп, 1000 ₽. Аренда прекращается, право собственности на зонт переходит Пользователю, а 1000 ₽ подлежат оплате как цена выкупа.</w:t>
      </w:r>
    </w:p>
    <w:p>
      <w:r>
        <w:t>После 48 часов 1000 ₽ — цена зонта по обязательному выкупу, а не штраф. Общая сумма при невозврате составляет 1300 ₽.</w:t>
      </w:r>
    </w:p>
    <w:p>
      <w:pPr>
        <w:pStyle w:val="Heading1"/>
        <w:keepNext/>
      </w:pPr>
      <w:r>
        <w:t>4. Корректный возврат</w:t>
      </w:r>
    </w:p>
    <w:p>
      <w:pPr>
        <w:pStyle w:val="ListNumber"/>
      </w:pPr>
      <w:r>
        <w:t>Вставьте зонт в свободную ячейку станции до фиксации замка.</w:t>
      </w:r>
    </w:p>
    <w:p>
      <w:pPr>
        <w:pStyle w:val="ListNumber"/>
      </w:pPr>
      <w:r>
        <w:t>Убедитесь, что в приложении появился статус «возвращён» и время завершения аренды.</w:t>
      </w:r>
    </w:p>
    <w:p>
      <w:pPr>
        <w:pStyle w:val="ListNumber"/>
      </w:pPr>
      <w:r>
        <w:t>Если подтверждения нет, сразу обратитесь в поддержку и приложите доступные доказательства. Не оставляйте зонт рядом со станцией.</w:t>
      </w:r>
    </w:p>
    <w:p>
      <w:r>
        <w:t>Если подтверждён технический сбой, Компания использует время первой системной попытки возврата или обращения в поддержку и корректирует начисления.</w:t>
      </w:r>
    </w:p>
    <w:p>
      <w:pPr>
        <w:pStyle w:val="Heading1"/>
        <w:keepNext/>
      </w:pPr>
      <w:r>
        <w:t>5. Повреждение и утрата</w:t>
      </w:r>
    </w:p>
    <w:p>
      <w:r>
        <w:t>Пользователь отвечает только за доказанный реальный ущерб, возникший по его вине. Нормальный износ, производственный дефект, ранее существовавшее повреждение и повреждение из-за сбоя станции не оплачиваются.</w:t>
      </w:r>
    </w:p>
    <w:p>
      <w:r>
        <w:t>До предъявления требования Компания фиксирует состояние зонта, сопоставляет журналы выдачи и возврата, сохраняет фото или акт, определяет возможность ремонта и рассчитывает сумму с учётом износа. Пользователю направляются материалы и предоставляется возможность дать объяснения.</w:t>
      </w:r>
    </w:p>
    <w:p>
      <w:pPr>
        <w:pStyle w:val="ListBullet"/>
      </w:pPr>
      <w:r>
        <w:t>Мелкое загрязнение, следы обычного использования и естественное ослабление материалов не считаются ущербом.</w:t>
      </w:r>
    </w:p>
    <w:p>
      <w:pPr>
        <w:pStyle w:val="ListBullet"/>
      </w:pPr>
      <w:r>
        <w:t>Ремонт оплачивается в размере документально подтверждённых разумных расходов, но не выше стоимости сопоставимого зонта с учётом износа.</w:t>
      </w:r>
    </w:p>
    <w:p>
      <w:pPr>
        <w:pStyle w:val="ListBullet"/>
      </w:pPr>
      <w:r>
        <w:t>Списание за повреждение не проводится автоматически по согласию на рекуррентные платежи; требуется отдельное согласование либо предусмотренная законом процедура взыскания.</w:t>
      </w:r>
    </w:p>
    <w:p>
      <w:pPr>
        <w:pStyle w:val="ListBullet"/>
      </w:pPr>
      <w:r>
        <w:t>После обязательного выкупа Компания не начисляет отдельно стоимость или ремонт этого же зонта.</w:t>
      </w:r>
    </w:p>
    <w:p>
      <w:pPr>
        <w:pStyle w:val="Heading1"/>
        <w:keepNext/>
      </w:pPr>
      <w:r>
        <w:t>6. Поздний приём выкупленного зонта</w:t>
      </w:r>
    </w:p>
    <w:p>
      <w:r>
        <w:t>Если станция приняла зонт после 48 часов, Пользователь обращается в поддержку. Компания проводит сверку и не удерживает одновременно сам зонт и полную цену выкупа без отдельного соглашения.</w:t>
      </w:r>
    </w:p>
    <w:p>
      <w:pPr>
        <w:pStyle w:val="Heading1"/>
        <w:keepNext/>
      </w:pPr>
      <w:r>
        <w:t>7. Безопасность и поддержка</w:t>
      </w:r>
    </w:p>
    <w:p>
      <w:r>
        <w:t>При заклинивании станции, обнаружении опасного дефекта или споре о возврате прекратите действия, которые могут повредить имущество или причинить вред, и свяжитесь с поддержкой. Экстренные ситуации решаются через соответствующие службы.</w:t>
      </w:r>
    </w:p>
    <w:p>
      <w:pPr>
        <w:pStyle w:val="Heading1"/>
        <w:keepNext/>
      </w:pPr>
      <w:r>
        <w:t>Реквизиты и контакты</w:t>
      </w:r>
    </w:p>
    <w:p>
      <w:r>
        <w:t>Общество с ограниченной ответственностью «АМБРЕНТ» (ООО «АМБРЕНТ»).</w:t>
      </w:r>
    </w:p>
    <w:p>
      <w:r>
        <w:t>ИНН 9717184990, ОГРН 1257700468926; адрес: 129626, г. Москва, проспект Мира, д. 102, стр. 1, помещ. 3/7; support@umbrent.ru; +7 (952) 779-13-88; https://umbrent.ru; Telegram: @umbrent_support.</w:t>
      </w:r>
    </w:p>
    <w:p>
      <w:r>
        <w:t>Обращения по аренде, платежам и персональным данным принимаются по адресу support@umbrent.ru. Ответ предоставляется в сроки, установленные законом и применимым документом.</w:t>
      </w:r>
    </w:p>
    <w:sectPr>
      <w:headerReference w:type="default" r:id="rId9"/>
      <w:pgSz w:w="11906" w:h="16838"/>
      <w:pgMar w:top="1134" w:right="567" w:bottom="1134" w:left="1134" w:header="567" w:footer="56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626B73"/>
        <w:sz w:val="16"/>
      </w:rPr>
      <w:t xml:space="preserve">Стр. </w:t>
      <w:fldChar w:fldCharType="begin"/>
      <w:instrText xml:space="preserve"> PAGE </w:instrText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76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ind w:firstLine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ind w:firstLine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ind w:firstLine="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40" w:line="240" w:lineRule="auto" w:before="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000000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before="0" w:after="240"/>
    </w:pPr>
    <w:rPr>
      <w:rFonts w:asciiTheme="majorHAnsi" w:eastAsiaTheme="majorEastAsia" w:hAnsiTheme="majorHAnsi" w:cstheme="majorBidi" w:ascii="Times New Roman" w:hAnsi="Times New Roman" w:eastAsia="Times New Roman"/>
      <w:b w:val="0"/>
      <w:i/>
      <w:iCs/>
      <w:color w:val="000000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0"/>
      <w:contextualSpacing/>
    </w:pPr>
    <w:rPr>
      <w:rFonts w:ascii="Times New Roman" w:hAnsi="Times New Roman" w:eastAsia="Times New Roman"/>
      <w:sz w:val="24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0"/>
      <w:contextualSpacing/>
    </w:pPr>
    <w:rPr>
      <w:rFonts w:ascii="Times New Roman" w:hAnsi="Times New Roman" w:eastAsia="Times New Roman"/>
      <w:sz w:val="24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