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ind w:firstLine="0"/>
        <w:jc w:val="center"/>
      </w:pPr>
      <w:r>
        <w:t>СОГЛАСИЕ НА ОБРАБОТКУ ПЕРСОНАЛЬНЫХ ДАННЫХ</w:t>
      </w:r>
    </w:p>
    <w:p>
      <w:pPr>
        <w:pStyle w:val="Subtitle"/>
        <w:ind w:firstLine="0"/>
        <w:jc w:val="center"/>
      </w:pPr>
      <w:r>
        <w:t>Отдельное электронное согласие • редакция от 15 августа 2026 года</w:t>
      </w:r>
    </w:p>
    <w:p>
      <w:pPr>
        <w:ind w:firstLine="709"/>
      </w:pPr>
      <w:r>
        <w:rPr>
          <w:b/>
        </w:rPr>
        <w:t xml:space="preserve">Важно. </w:t>
      </w:r>
      <w:r>
        <w:t>Согласие предъявляется отдельно от Пользовательского соглашения. Галочка не устанавливается заранее; доказательство выбора и версия текста сохраняются.</w:t>
      </w:r>
    </w:p>
    <w:p>
      <w:pPr>
        <w:pStyle w:val="Heading1"/>
        <w:keepNext/>
      </w:pPr>
      <w:r>
        <w:t>1. Субъект и оператор</w:t>
      </w:r>
    </w:p>
    <w:p>
      <w:r>
        <w:t>Субъектом является пользователь приложения Umbrent, идентифицированный номером телефона, идентификатором аккаунта и иными сведениями, указанными им в интерфейсе. Оператор: Общество с ограниченной ответственностью «АМБРЕНТ» (ООО «АМБРЕНТ»), ИНН 9717184990, ОГРН 1257700468926; адрес: 129626, г. Москва, проспект Мира, д. 102, стр. 1, помещ. 3/7; support@umbrent.ru; +7 (952) 779-13-88; https://umbrent.ru; Telegram: @umbrent_support.</w:t>
      </w:r>
    </w:p>
    <w:p>
      <w:pPr>
        <w:pStyle w:val="Heading1"/>
        <w:keepNext/>
      </w:pPr>
      <w:r>
        <w:t>2. Цели согласия</w:t>
      </w:r>
    </w:p>
    <w:p>
      <w:pPr>
        <w:pStyle w:val="ListBullet"/>
      </w:pPr>
      <w:r>
        <w:t>создание и защита аккаунта с использованием выбранного способа входа;</w:t>
      </w:r>
    </w:p>
    <w:p>
      <w:pPr>
        <w:pStyle w:val="ListBullet"/>
      </w:pPr>
      <w:r>
        <w:t>поиск ближайшей станции по геопозиции, если пользователь дал разрешение устройства;</w:t>
      </w:r>
    </w:p>
    <w:p>
      <w:pPr>
        <w:pStyle w:val="ListBullet"/>
      </w:pPr>
      <w:r>
        <w:t>обработка добровольно направленных в поддержку фото, видео и иных материалов;</w:t>
      </w:r>
    </w:p>
    <w:p>
      <w:pPr>
        <w:pStyle w:val="ListBullet"/>
      </w:pPr>
      <w:r>
        <w:t>сохранение платёжного идентификатора и выполнение автоплатежа при отдельном согласии на рекуррентные платежи;</w:t>
      </w:r>
    </w:p>
    <w:p>
      <w:pPr>
        <w:pStyle w:val="ListBullet"/>
      </w:pPr>
      <w:r>
        <w:t>диагностика приложения и предотвращение злоупотреблений в случаях, когда для конкретной технологии требуется согласие.</w:t>
      </w:r>
    </w:p>
    <w:p>
      <w:pPr>
        <w:pStyle w:val="Heading1"/>
        <w:keepNext/>
      </w:pPr>
      <w:r>
        <w:t>3. Перечень данных</w:t>
      </w:r>
    </w:p>
    <w:p>
      <w:r>
        <w:t>Номер телефона, email при его указании, идентификаторы аккаунта и выбранного способа входа; идентификаторы устройства и приложения; IP-адрес и технические события; push-токен; геопозиция при разрешении; история аренды и станций; платёжный токен, последние цифры карты, сумма и статус операции; содержание обращений, а также добровольно переданные фото и видео.</w:t>
      </w:r>
    </w:p>
    <w:p>
      <w:r>
        <w:t>Компания не запрашивает согласие на обработку данных, которые фактически не собирает. Полные реквизиты банковской карты и CVC/CVV обрабатываются в интерфейсе платёжного партнёра и не должны поступать Компании.</w:t>
      </w:r>
    </w:p>
    <w:p>
      <w:pPr>
        <w:pStyle w:val="Heading1"/>
        <w:keepNext/>
      </w:pPr>
      <w:r>
        <w:t>4. Действия и способы обработки</w:t>
      </w:r>
    </w:p>
    <w:p>
      <w:r>
        <w:t>Сбор, запись, систематизация, накопление, хранение, уточнение, извлечение, использование, передача уполномоченным получателям, обезличивание, блокирование, удаление и уничтожение с применением автоматизированных средств и без них.</w:t>
      </w:r>
    </w:p>
    <w:p>
      <w:pPr>
        <w:pStyle w:val="Heading1"/>
        <w:keepNext/>
      </w:pPr>
      <w:r>
        <w:t>5. Получатели и порученная обработка</w:t>
      </w:r>
    </w:p>
    <w:p>
      <w:r>
        <w:t>Для платежей данные передаются ООО НКО «ЮМани» (ЮKassa), адрес: 115035, г. Москва, Садовническая ул., д. 82, стр. 2. Для иных функций данные могут обрабатываться подключёнными Компанией поставщиками российского хостинга, SMS/OTP, push-уведомлений, карт, аналитики и диагностики.</w:t>
      </w:r>
    </w:p>
    <w:p>
      <w:r>
        <w:t>Имена и адреса фактически подключённых поставщиков показываются пользователю рядом со ссылкой на это согласие и фиксируются в сохранённой версии акцепта. Если такой список в интерфейсе не реализован или не соответствует фактическим договорам, согласие использовать нельзя до исправления.</w:t>
      </w:r>
    </w:p>
    <w:p>
      <w:pPr>
        <w:pStyle w:val="Heading1"/>
        <w:keepNext/>
      </w:pPr>
      <w:r>
        <w:t>6. Срок и отзыв</w:t>
      </w:r>
    </w:p>
    <w:p>
      <w:r>
        <w:t>Согласие действует до достижения соответствующей цели, истечения срока хранения либо отзыва — в зависимости от того, что наступит раньше. Запрос об отзыве направляется через настройки приложения или на support@umbrent.ru.</w:t>
      </w:r>
    </w:p>
    <w:p>
      <w:r>
        <w:t>После отзыва Компания прекращает обработку на основании согласия и уничтожает данные в срок, установленный законом, если их сохранение не требуется для исполнения договора, бухгалтерского и налогового учёта, рассмотрения спора, безопасности или иной обязанности. Отзыв необязательного согласия не лишает Пользователя доступа к основному сервису, кроме функции, объективно требующей соответствующих данных, например геопозиции.</w:t>
      </w:r>
    </w:p>
    <w:p>
      <w:pPr>
        <w:pStyle w:val="Heading1"/>
        <w:keepNext/>
      </w:pPr>
      <w:r>
        <w:t>7. Подтверждение</w:t>
      </w:r>
    </w:p>
    <w:p>
      <w:pPr>
        <w:ind w:firstLine="709"/>
      </w:pPr>
      <w:r>
        <w:rPr>
          <w:b/>
        </w:rPr>
        <w:t xml:space="preserve">Важно. </w:t>
      </w:r>
      <w:r>
        <w:t xml:space="preserve">Рекомендуемый текст кнопки: «Даю отдельное согласие на обработку перечисленных персональных данных для выбранных функций. Политика и список подключённых обработчиков доступны по ссылкам. Согласие можно отозвать». </w:t>
      </w:r>
    </w:p>
    <w:p>
      <w:r>
        <w:t>Компания сохраняет дату, время, версию текста, идентификатор пользователя и техническое событие подтверждения. Молчание, продолжение просмотра, заранее отмеченная галочка или принятие иного договора не считаются согласием.</w:t>
      </w:r>
    </w:p>
    <w:p>
      <w:pPr>
        <w:pStyle w:val="Heading1"/>
        <w:keepNext/>
      </w:pPr>
      <w:r>
        <w:t>Реквизиты и контакты</w:t>
      </w:r>
    </w:p>
    <w:p>
      <w:r>
        <w:t>Общество с ограниченной ответственностью «АМБРЕНТ» (ООО «АМБРЕНТ»).</w:t>
      </w:r>
    </w:p>
    <w:p>
      <w:r>
        <w:t>ИНН 9717184990, ОГРН 1257700468926; адрес: 129626, г. Москва, проспект Мира, д. 102, стр. 1, помещ. 3/7; support@umbrent.ru; +7 (952) 779-13-88; https://umbrent.ru; Telegram: @umbrent_support.</w:t>
      </w:r>
    </w:p>
    <w:p>
      <w:r>
        <w:t>Обращения по аренде, платежам и персональным данным принимаются по адресу support@umbrent.ru. Ответ предоставляется в сроки, установленные законом и применимым документом.</w:t>
      </w:r>
    </w:p>
    <w:sectPr>
      <w:headerReference w:type="default" r:id="rId9"/>
      <w:pgSz w:w="11906" w:h="16838"/>
      <w:pgMar w:top="1134" w:right="567" w:bottom="1134" w:left="1134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26B73"/>
        <w:sz w:val="16"/>
      </w:rPr>
      <w:t xml:space="preserve">Стр. </w:t>
      <w:fldChar w:fldCharType="begin"/>
      <w:instrText xml:space="preserve"> PAGE 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ind w:firstLine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ind w:firstLine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/>
    </w:pPr>
    <w:rPr>
      <w:rFonts w:asciiTheme="majorHAnsi" w:eastAsiaTheme="majorEastAsia" w:hAnsiTheme="majorHAnsi" w:cstheme="majorBidi" w:ascii="Times New Roman" w:hAnsi="Times New Roman" w:eastAsia="Times New Roman"/>
      <w:b w:val="0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